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framePr w:w="4335" w:h="2701" w:hRule="exact" w:wrap="none" w:vAnchor="page" w:hAnchor="page" w:x="6631" w:y="184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spacing w:line="240" w:lineRule="auto"/>
        <w:ind w:left="28" w:right="28"/>
        <w:rPr>
          <w:sz w:val="24"/>
          <w:szCs w:val="24"/>
        </w:rPr>
      </w:pPr>
    </w:p>
    <w:p w:rsidR="00D24CE3" w:rsidRDefault="00D24CE3" w:rsidP="00D24CE3">
      <w:pPr>
        <w:framePr w:w="4335" w:h="2701" w:hRule="exact" w:wrap="none" w:vAnchor="page" w:hAnchor="page" w:x="6631" w:y="184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spacing w:line="240" w:lineRule="auto"/>
        <w:ind w:left="28" w:right="28"/>
        <w:rPr>
          <w:sz w:val="24"/>
          <w:szCs w:val="24"/>
        </w:rPr>
      </w:pPr>
    </w:p>
    <w:p w:rsidR="00D24CE3" w:rsidRDefault="00D24CE3" w:rsidP="00D24CE3">
      <w:pPr>
        <w:framePr w:w="4335" w:h="2701" w:hRule="exact" w:wrap="none" w:vAnchor="page" w:hAnchor="page" w:x="6631" w:y="184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spacing w:line="240" w:lineRule="auto"/>
        <w:ind w:left="28" w:right="28"/>
        <w:rPr>
          <w:sz w:val="24"/>
          <w:szCs w:val="24"/>
        </w:rPr>
      </w:pPr>
      <w:r w:rsidRPr="009933CF">
        <w:rPr>
          <w:noProof/>
          <w:sz w:val="24"/>
          <w:szCs w:val="24"/>
        </w:rPr>
        <w:t>Obec Tomášovce</w:t>
      </w:r>
    </w:p>
    <w:p w:rsidR="00D24CE3" w:rsidRDefault="00D24CE3" w:rsidP="00D24CE3">
      <w:pPr>
        <w:framePr w:w="4335" w:h="2701" w:hRule="exact" w:wrap="none" w:vAnchor="page" w:hAnchor="page" w:x="6631" w:y="184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spacing w:line="240" w:lineRule="auto"/>
        <w:ind w:left="28" w:right="28"/>
        <w:rPr>
          <w:sz w:val="24"/>
          <w:szCs w:val="24"/>
        </w:rPr>
      </w:pPr>
      <w:r w:rsidRPr="009933CF">
        <w:rPr>
          <w:noProof/>
          <w:sz w:val="24"/>
          <w:szCs w:val="24"/>
        </w:rPr>
        <w:t>Partizánska 132/7</w:t>
      </w:r>
    </w:p>
    <w:p w:rsidR="00D24CE3" w:rsidRPr="005C20BB" w:rsidRDefault="00D24CE3" w:rsidP="00D24CE3">
      <w:pPr>
        <w:framePr w:w="4335" w:h="2701" w:hRule="exact" w:wrap="none" w:vAnchor="page" w:hAnchor="page" w:x="6631" w:y="184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spacing w:line="240" w:lineRule="auto"/>
        <w:ind w:left="28" w:right="28"/>
        <w:rPr>
          <w:sz w:val="24"/>
          <w:szCs w:val="24"/>
        </w:rPr>
      </w:pPr>
      <w:r w:rsidRPr="009933CF">
        <w:rPr>
          <w:noProof/>
          <w:sz w:val="24"/>
          <w:szCs w:val="24"/>
        </w:rPr>
        <w:t>985 56</w:t>
      </w:r>
      <w:r>
        <w:rPr>
          <w:sz w:val="24"/>
          <w:szCs w:val="24"/>
        </w:rPr>
        <w:t xml:space="preserve">  </w:t>
      </w:r>
      <w:r w:rsidRPr="009933CF">
        <w:rPr>
          <w:noProof/>
          <w:sz w:val="24"/>
          <w:szCs w:val="24"/>
        </w:rPr>
        <w:t>Tomášovce</w:t>
      </w: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framePr w:w="3645" w:h="255" w:hRule="exact" w:wrap="none" w:vAnchor="page" w:hAnchor="page" w:x="7336" w:y="4711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Piešťanoch dňa 19.12.2018</w:t>
      </w: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framePr w:w="10246" w:h="4321" w:hRule="exact" w:wrap="none" w:vAnchor="page" w:hAnchor="page" w:x="781" w:y="5072"/>
        <w:widowControl w:val="0"/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Vážený </w:t>
      </w:r>
      <w:r>
        <w:rPr>
          <w:rFonts w:ascii="Arial" w:hAnsi="Arial" w:cs="Arial"/>
          <w:highlight w:val="white"/>
        </w:rPr>
        <w:t>odberateľ,</w:t>
      </w:r>
    </w:p>
    <w:p w:rsidR="00D24CE3" w:rsidRDefault="00D24CE3" w:rsidP="00D24CE3">
      <w:pPr>
        <w:framePr w:w="10246" w:h="4321" w:hRule="exact" w:wrap="none" w:vAnchor="page" w:hAnchor="page" w:x="781" w:y="5072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ďakujeme Vám za doterajšiu spoluprácu. Nakoľko Vašej aktuálnej zmluve o dodávke končí platnosť k 31.12.2018, v záujme kontinuity dodávky Vám posielame dodatok o predĺžení platnosti zmluvy do 31.12.2019 s aktuálnou trhovou cenou.</w:t>
      </w:r>
    </w:p>
    <w:p w:rsidR="00D24CE3" w:rsidRDefault="00D24CE3" w:rsidP="00D24CE3">
      <w:pPr>
        <w:framePr w:w="10246" w:h="4321" w:hRule="exact" w:wrap="none" w:vAnchor="page" w:hAnchor="page" w:x="781" w:y="5072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 sa rozhodnete nepokračovať ďalej v spolupráci s našou spoločnosťou, oznámte nám to obratom na tel. čísle 033/791 5707 a tiež na </w:t>
      </w:r>
      <w:hyperlink r:id="rId7" w:history="1">
        <w:r w:rsidRPr="00A41F20">
          <w:rPr>
            <w:rStyle w:val="Hypertextovprepojenie"/>
            <w:rFonts w:ascii="Arial" w:hAnsi="Arial" w:cs="Arial"/>
          </w:rPr>
          <w:t>obchod@magnaea.sk</w:t>
        </w:r>
      </w:hyperlink>
      <w:r>
        <w:rPr>
          <w:rFonts w:ascii="Arial" w:hAnsi="Arial" w:cs="Arial"/>
        </w:rPr>
        <w:t>, obratom Vám pošleme potvrdenie o ukončení odberu a vyradení odberných miest z našej bilančnej skupiny, v opačnom prípade, by z Vašej strany dochádzalo k neoprávnenému odberu.</w:t>
      </w:r>
    </w:p>
    <w:p w:rsidR="00D24CE3" w:rsidRPr="00C76941" w:rsidRDefault="00D24CE3" w:rsidP="00D24CE3">
      <w:pPr>
        <w:framePr w:w="10246" w:h="4321" w:hRule="exact" w:wrap="none" w:vAnchor="page" w:hAnchor="page" w:x="781" w:y="5072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8744B">
        <w:rPr>
          <w:rFonts w:ascii="Arial" w:hAnsi="Arial" w:cs="Arial"/>
        </w:rPr>
        <w:t xml:space="preserve">Prosíme Vás prekontrolovať správnosť údajov, podpísať zaslané dokumenty a </w:t>
      </w:r>
      <w:r w:rsidRPr="00C76941">
        <w:rPr>
          <w:rFonts w:ascii="Arial" w:hAnsi="Arial" w:cs="Arial"/>
          <w:b/>
        </w:rPr>
        <w:t>odoslať obratom 1 vyh</w:t>
      </w:r>
      <w:r>
        <w:rPr>
          <w:rFonts w:ascii="Arial" w:hAnsi="Arial" w:cs="Arial"/>
          <w:b/>
        </w:rPr>
        <w:t>otovenie dodatku na našu adresu</w:t>
      </w:r>
    </w:p>
    <w:p w:rsidR="00D24CE3" w:rsidRDefault="00D24CE3" w:rsidP="00D24CE3">
      <w:pPr>
        <w:framePr w:w="10246" w:h="4321" w:hRule="exact" w:wrap="none" w:vAnchor="page" w:hAnchor="page" w:x="781" w:y="5072"/>
        <w:widowControl w:val="0"/>
        <w:autoSpaceDE w:val="0"/>
        <w:autoSpaceDN w:val="0"/>
        <w:adjustRightInd w:val="0"/>
        <w:jc w:val="center"/>
        <w:rPr>
          <w:sz w:val="24"/>
          <w:szCs w:val="24"/>
          <w:lang w:val="cs-CZ" w:eastAsia="cs-CZ"/>
        </w:rPr>
      </w:pPr>
      <w:r>
        <w:rPr>
          <w:rFonts w:ascii="Arial" w:hAnsi="Arial" w:cs="Arial"/>
          <w:b/>
          <w:bCs/>
          <w:lang w:val="cs-CZ" w:eastAsia="cs-CZ"/>
        </w:rPr>
        <w:t>MAGNA ENERGIA a.s., Nitrianska 7555/18, 921 01 Piešťany</w:t>
      </w:r>
    </w:p>
    <w:p w:rsidR="00D24CE3" w:rsidRPr="00E8744B" w:rsidRDefault="00D24CE3" w:rsidP="00D24CE3">
      <w:pPr>
        <w:framePr w:w="10246" w:h="4321" w:hRule="exact" w:wrap="none" w:vAnchor="page" w:hAnchor="page" w:x="781" w:y="5072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framePr w:w="10175" w:h="2221" w:hRule="exact" w:wrap="none" w:vAnchor="page" w:hAnchor="page" w:x="766" w:y="9586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rámci zefektívnenia komunikácie Vám prinášame aj možnosť súhlasu s elektronickou fakturáciou. Prosíme Vás preto, aby ste venovali svoju pozornosť aj prílohe tohto listu.</w:t>
      </w:r>
    </w:p>
    <w:p w:rsidR="00D24CE3" w:rsidRDefault="00D24CE3" w:rsidP="00D24CE3">
      <w:pPr>
        <w:framePr w:w="10175" w:h="2221" w:hRule="exact" w:wrap="none" w:vAnchor="page" w:hAnchor="page" w:x="766" w:y="9586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24CE3" w:rsidRDefault="00D24CE3" w:rsidP="00D24CE3">
      <w:pPr>
        <w:framePr w:w="10175" w:h="2221" w:hRule="exact" w:wrap="none" w:vAnchor="page" w:hAnchor="page" w:x="766" w:y="9586"/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 prípade záujmu o inkasný spôsob platby nás kontaktujte. Zašleme Vám SEPA mandát na inkaso, na základe ktorého si zriadite súhlas s inkasom (v banke alebo cez internet banking). Úhrada Vašich faktúr bude v prípade tohto spôsobu platby zrealizovaná bez zbytočných starostí, včas a v správnej výške.</w:t>
      </w: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framePr w:w="1410" w:h="255" w:hRule="exact" w:wrap="none" w:vAnchor="page" w:hAnchor="page" w:x="826" w:y="1240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 pozdravom</w:t>
      </w: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framePr w:w="5628" w:h="535" w:hRule="exact" w:wrap="none" w:vAnchor="page" w:hAnchor="page" w:x="5266" w:y="1345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Martin Ondko</w:t>
      </w:r>
      <w:r>
        <w:rPr>
          <w:rFonts w:ascii="Arial" w:hAnsi="Arial" w:cs="Arial"/>
          <w:color w:val="000000"/>
        </w:rPr>
        <w:br/>
        <w:t>predseda predstavenstva a generálny riaditeľ</w:t>
      </w:r>
    </w:p>
    <w:p w:rsidR="00D24CE3" w:rsidRDefault="00D24CE3" w:rsidP="00D24CE3">
      <w:pPr>
        <w:framePr w:w="5628" w:h="535" w:hRule="exact" w:wrap="none" w:vAnchor="page" w:hAnchor="page" w:x="5266" w:y="1345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D24CE3" w:rsidRDefault="00D24CE3" w:rsidP="00D24CE3">
      <w:pPr>
        <w:framePr w:w="5628" w:h="535" w:hRule="exact" w:wrap="none" w:vAnchor="page" w:hAnchor="page" w:x="5266" w:y="13456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rFonts w:ascii="Arial" w:hAnsi="Arial" w:cs="Arial"/>
          <w:color w:val="000000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framePr w:w="10175" w:h="826" w:hRule="exact" w:wrap="none" w:vAnchor="page" w:hAnchor="page" w:x="1081" w:y="15421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MAGNA ENERGIA a.s., Nitrianska 7555/18, 921 01 Piešťany, SK (budova Aupark, vstup z Teplickej ulice)</w:t>
      </w:r>
      <w:r>
        <w:rPr>
          <w:color w:val="000000"/>
          <w:sz w:val="14"/>
          <w:szCs w:val="14"/>
        </w:rPr>
        <w:br/>
      </w:r>
      <w:proofErr w:type="spellStart"/>
      <w:r>
        <w:rPr>
          <w:color w:val="000000"/>
          <w:sz w:val="14"/>
          <w:szCs w:val="14"/>
        </w:rPr>
        <w:t>Spoločnost</w:t>
      </w:r>
      <w:proofErr w:type="spellEnd"/>
      <w:r>
        <w:rPr>
          <w:color w:val="000000"/>
          <w:sz w:val="14"/>
          <w:szCs w:val="14"/>
        </w:rPr>
        <w:t xml:space="preserve"> je zapísaná v Obchodnom registri Okresného súdu v Trnave, Oddiel: Sa, vložka 10626/T,</w:t>
      </w:r>
      <w:r>
        <w:rPr>
          <w:color w:val="000000"/>
          <w:sz w:val="14"/>
          <w:szCs w:val="14"/>
        </w:rPr>
        <w:br/>
        <w:t xml:space="preserve">http://www.magnaea.sk, e-mail: magna@magnaea.sk, tel.: +421 33 7720 731, fax: +421 33 7720 732, hot </w:t>
      </w:r>
      <w:proofErr w:type="spellStart"/>
      <w:r>
        <w:rPr>
          <w:color w:val="000000"/>
          <w:sz w:val="14"/>
          <w:szCs w:val="14"/>
        </w:rPr>
        <w:t>line</w:t>
      </w:r>
      <w:proofErr w:type="spellEnd"/>
      <w:r>
        <w:rPr>
          <w:color w:val="000000"/>
          <w:sz w:val="14"/>
          <w:szCs w:val="14"/>
        </w:rPr>
        <w:t>: +421 948 330 530</w:t>
      </w:r>
      <w:r>
        <w:rPr>
          <w:color w:val="000000"/>
          <w:sz w:val="14"/>
          <w:szCs w:val="14"/>
        </w:rPr>
        <w:br/>
        <w:t>IČO: 35 743 565, DIČ: 2020230135, IČ pre DPH: SK2020230135, TATRA BANKA a.s. číslo účtu: 2622738682/1100, IBAN: SK22 1100 0000 0026 2273 8682</w:t>
      </w:r>
    </w:p>
    <w:p w:rsidR="00D24CE3" w:rsidRDefault="00D24CE3" w:rsidP="00D24CE3">
      <w:pPr>
        <w:framePr w:w="10175" w:h="826" w:hRule="exact" w:wrap="none" w:vAnchor="page" w:hAnchor="page" w:x="1081" w:y="15421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right="28"/>
        <w:rPr>
          <w:color w:val="000000"/>
          <w:sz w:val="14"/>
          <w:szCs w:val="14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D24CE3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34657">
        <w:rPr>
          <w:rFonts w:ascii="Times New Roman" w:hAnsi="Times New Roman" w:cs="Times New Roman"/>
          <w:b/>
        </w:rPr>
        <w:lastRenderedPageBreak/>
        <w:t xml:space="preserve">Dodatok  k  zmluve o dodávke elektriny č. </w:t>
      </w:r>
      <w:r w:rsidRPr="009933CF">
        <w:rPr>
          <w:rFonts w:ascii="Times New Roman" w:hAnsi="Times New Roman" w:cs="Times New Roman"/>
          <w:b/>
          <w:noProof/>
        </w:rPr>
        <w:t>6161/2016</w:t>
      </w: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616A6">
        <w:rPr>
          <w:rFonts w:ascii="Times New Roman" w:hAnsi="Times New Roman" w:cs="Times New Roman"/>
        </w:rPr>
        <w:t>(ďalej len „</w:t>
      </w:r>
      <w:r w:rsidRPr="00C616A6">
        <w:rPr>
          <w:rFonts w:ascii="Times New Roman" w:hAnsi="Times New Roman" w:cs="Times New Roman"/>
          <w:b/>
        </w:rPr>
        <w:t>zmluva</w:t>
      </w:r>
      <w:r w:rsidRPr="00C616A6">
        <w:rPr>
          <w:rFonts w:ascii="Times New Roman" w:hAnsi="Times New Roman" w:cs="Times New Roman"/>
        </w:rPr>
        <w:t>“)</w:t>
      </w: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medzi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C616A6">
        <w:rPr>
          <w:rFonts w:ascii="Times New Roman" w:hAnsi="Times New Roman" w:cs="Times New Roman"/>
          <w:u w:val="single"/>
        </w:rPr>
        <w:t>dodávateľom:</w:t>
      </w:r>
    </w:p>
    <w:p w:rsidR="00D24CE3" w:rsidRDefault="00D24CE3" w:rsidP="00D24CE3">
      <w:pPr>
        <w:spacing w:after="0" w:line="360" w:lineRule="auto"/>
        <w:rPr>
          <w:rFonts w:ascii="Times New Roman" w:hAnsi="Times New Roman" w:cs="Times New Roman"/>
          <w:u w:val="single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  <w:u w:val="single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  <w:b/>
        </w:rPr>
      </w:pPr>
      <w:r w:rsidRPr="00C616A6">
        <w:rPr>
          <w:rFonts w:ascii="Times New Roman" w:hAnsi="Times New Roman" w:cs="Times New Roman"/>
          <w:b/>
        </w:rPr>
        <w:t>MAGNA ENERGIA a.s.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Osoba oprávnená konať:</w:t>
      </w:r>
      <w:r w:rsidRPr="00C616A6">
        <w:rPr>
          <w:rFonts w:ascii="Times New Roman" w:hAnsi="Times New Roman" w:cs="Times New Roman"/>
        </w:rPr>
        <w:tab/>
        <w:t>Martin Ondko, predseda predstavenstva a generálny riaditeľ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Sídlo:</w:t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  <w:t>Nitrianska 7555/18, 921 01 Piešťany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IČO:</w:t>
      </w:r>
      <w:r w:rsidRPr="00C616A6">
        <w:rPr>
          <w:rFonts w:ascii="Times New Roman" w:hAnsi="Times New Roman" w:cs="Times New Roman"/>
          <w:b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  <w:t>35743565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IČ DPH:</w:t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  <w:t>SK2020230135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Bank. spojenie:</w:t>
      </w:r>
      <w:r w:rsidRPr="00C616A6">
        <w:rPr>
          <w:rFonts w:ascii="Times New Roman" w:hAnsi="Times New Roman" w:cs="Times New Roman"/>
          <w:b/>
        </w:rPr>
        <w:tab/>
      </w:r>
      <w:r w:rsidRPr="00C616A6">
        <w:rPr>
          <w:rFonts w:ascii="Times New Roman" w:hAnsi="Times New Roman" w:cs="Times New Roman"/>
        </w:rPr>
        <w:tab/>
        <w:t>622738682/1100</w:t>
      </w:r>
    </w:p>
    <w:p w:rsidR="00D24CE3" w:rsidRPr="00C616A6" w:rsidRDefault="00D24CE3" w:rsidP="00D24CE3">
      <w:pPr>
        <w:spacing w:after="0" w:line="360" w:lineRule="auto"/>
        <w:ind w:left="2832" w:hanging="2832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Údaj o zápise:</w:t>
      </w:r>
      <w:r w:rsidRPr="00C616A6">
        <w:rPr>
          <w:rFonts w:ascii="Times New Roman" w:hAnsi="Times New Roman" w:cs="Times New Roman"/>
        </w:rPr>
        <w:tab/>
        <w:t>zapísaná v obchodnom registri Okresný súd v Trnave, Oddiel: Sa, vložka číslo: 10626/T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334657">
        <w:rPr>
          <w:rFonts w:ascii="Times New Roman" w:hAnsi="Times New Roman" w:cs="Times New Roman"/>
          <w:u w:val="single"/>
        </w:rPr>
        <w:t>a </w:t>
      </w:r>
      <w:r w:rsidRPr="00C616A6">
        <w:rPr>
          <w:rFonts w:ascii="Times New Roman" w:hAnsi="Times New Roman" w:cs="Times New Roman"/>
          <w:u w:val="single"/>
        </w:rPr>
        <w:t>odberateľom:</w:t>
      </w:r>
    </w:p>
    <w:p w:rsidR="00D24CE3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1E53F7" w:rsidRDefault="00D24CE3" w:rsidP="00D24CE3">
      <w:pPr>
        <w:spacing w:after="0" w:line="360" w:lineRule="auto"/>
        <w:rPr>
          <w:rFonts w:ascii="Times New Roman" w:hAnsi="Times New Roman" w:cs="Times New Roman"/>
          <w:b/>
        </w:rPr>
      </w:pPr>
      <w:r w:rsidRPr="009933CF">
        <w:rPr>
          <w:rFonts w:ascii="Times New Roman" w:hAnsi="Times New Roman" w:cs="Times New Roman"/>
          <w:b/>
          <w:noProof/>
        </w:rPr>
        <w:t>Obec Tomášovce</w:t>
      </w:r>
    </w:p>
    <w:p w:rsidR="00D24CE3" w:rsidRPr="00C616A6" w:rsidRDefault="00D24CE3" w:rsidP="00D24CE3">
      <w:pPr>
        <w:spacing w:after="0" w:line="360" w:lineRule="auto"/>
        <w:ind w:left="2835" w:hanging="2835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Osoba oprávnená konať</w:t>
      </w:r>
      <w:r w:rsidRPr="00C616A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9933CF">
        <w:rPr>
          <w:rFonts w:ascii="Times New Roman" w:hAnsi="Times New Roman" w:cs="Times New Roman"/>
          <w:noProof/>
        </w:rPr>
        <w:t>Ing. Ján Mičuda, starosta</w:t>
      </w:r>
      <w:r w:rsidRPr="00C616A6">
        <w:rPr>
          <w:rFonts w:ascii="Times New Roman" w:hAnsi="Times New Roman" w:cs="Times New Roman"/>
        </w:rPr>
        <w:tab/>
      </w:r>
    </w:p>
    <w:p w:rsidR="00D24CE3" w:rsidRPr="00C616A6" w:rsidRDefault="00D24CE3" w:rsidP="00D24CE3">
      <w:pPr>
        <w:spacing w:after="0" w:line="360" w:lineRule="auto"/>
        <w:ind w:left="2835" w:hanging="2835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Sídlo: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 w:rsidRPr="009933CF">
        <w:rPr>
          <w:rFonts w:ascii="Times New Roman" w:hAnsi="Times New Roman" w:cs="Times New Roman"/>
          <w:noProof/>
        </w:rPr>
        <w:t>Partizánska 132/7,  Tomášovce</w:t>
      </w:r>
      <w:r w:rsidRPr="00C616A6">
        <w:rPr>
          <w:rFonts w:ascii="Times New Roman" w:hAnsi="Times New Roman" w:cs="Times New Roman"/>
          <w:noProof/>
        </w:rPr>
        <w:tab/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IČO:</w:t>
      </w:r>
      <w:r w:rsidRPr="00C616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616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933CF">
        <w:rPr>
          <w:rFonts w:ascii="Times New Roman" w:hAnsi="Times New Roman" w:cs="Times New Roman"/>
          <w:noProof/>
        </w:rPr>
        <w:t>316474</w:t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</w:p>
    <w:p w:rsidR="00D24CE3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IČ DPH:</w:t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</w:p>
    <w:p w:rsidR="00D24CE3" w:rsidRPr="00334657" w:rsidRDefault="00D24CE3" w:rsidP="00D24CE3">
      <w:pPr>
        <w:spacing w:after="0" w:line="360" w:lineRule="auto"/>
        <w:rPr>
          <w:rFonts w:ascii="Times New Roman" w:hAnsi="Times New Roman" w:cs="Times New Roman"/>
          <w:noProof/>
        </w:rPr>
      </w:pPr>
      <w:r w:rsidRPr="00033F38">
        <w:rPr>
          <w:rFonts w:ascii="Times New Roman" w:hAnsi="Times New Roman" w:cs="Times New Roman"/>
          <w:b/>
        </w:rPr>
        <w:t>DIČ: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933CF">
        <w:rPr>
          <w:rFonts w:ascii="Times New Roman" w:hAnsi="Times New Roman" w:cs="Times New Roman"/>
          <w:noProof/>
        </w:rPr>
        <w:t>2021251023</w:t>
      </w:r>
    </w:p>
    <w:p w:rsidR="00D24CE3" w:rsidRDefault="00D24CE3" w:rsidP="00D24CE3">
      <w:pPr>
        <w:spacing w:after="0" w:line="360" w:lineRule="auto"/>
        <w:ind w:left="2832" w:hanging="2832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ab/>
      </w:r>
    </w:p>
    <w:p w:rsidR="00D24CE3" w:rsidRDefault="00D24CE3" w:rsidP="00D24CE3">
      <w:pPr>
        <w:spacing w:after="0" w:line="360" w:lineRule="auto"/>
        <w:ind w:left="2832" w:hanging="2832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ind w:left="2832" w:hanging="2832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616A6">
        <w:rPr>
          <w:rFonts w:ascii="Times New Roman" w:hAnsi="Times New Roman" w:cs="Times New Roman"/>
          <w:b/>
        </w:rPr>
        <w:t>Článok I.</w:t>
      </w: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616A6">
        <w:rPr>
          <w:rFonts w:ascii="Times New Roman" w:hAnsi="Times New Roman" w:cs="Times New Roman"/>
          <w:b/>
        </w:rPr>
        <w:t>Úvodné ustanovenia</w:t>
      </w: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V zmluve o dodávke elektriny č</w:t>
      </w:r>
      <w:r>
        <w:rPr>
          <w:rFonts w:ascii="Times New Roman" w:hAnsi="Times New Roman" w:cs="Times New Roman"/>
        </w:rPr>
        <w:t xml:space="preserve">. </w:t>
      </w:r>
      <w:r w:rsidRPr="009933CF">
        <w:rPr>
          <w:rFonts w:ascii="Times New Roman" w:hAnsi="Times New Roman" w:cs="Times New Roman"/>
          <w:noProof/>
        </w:rPr>
        <w:t>6161/2016</w:t>
      </w:r>
      <w:r w:rsidRPr="00033F38">
        <w:rPr>
          <w:rFonts w:ascii="Times New Roman" w:hAnsi="Times New Roman" w:cs="Times New Roman"/>
        </w:rPr>
        <w:t xml:space="preserve"> </w:t>
      </w:r>
      <w:r w:rsidRPr="00C616A6">
        <w:rPr>
          <w:rFonts w:ascii="Times New Roman" w:hAnsi="Times New Roman" w:cs="Times New Roman"/>
        </w:rPr>
        <w:t>sa mení Článok IV. bod 1 a Článok VI. Bod 1. Ostatné ustanovenia v zmluve ostávajú zachované.</w:t>
      </w: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616A6">
        <w:rPr>
          <w:rFonts w:ascii="Times New Roman" w:hAnsi="Times New Roman" w:cs="Times New Roman"/>
          <w:b/>
        </w:rPr>
        <w:t>Článok II.</w:t>
      </w: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616A6">
        <w:rPr>
          <w:rFonts w:ascii="Times New Roman" w:hAnsi="Times New Roman" w:cs="Times New Roman"/>
          <w:b/>
        </w:rPr>
        <w:t xml:space="preserve">Zmeny v zmluve o dodávke elektriny č. </w:t>
      </w:r>
      <w:r w:rsidRPr="009933CF">
        <w:rPr>
          <w:rFonts w:ascii="Times New Roman" w:hAnsi="Times New Roman" w:cs="Times New Roman"/>
          <w:b/>
          <w:noProof/>
        </w:rPr>
        <w:t>6161/2016</w:t>
      </w:r>
    </w:p>
    <w:p w:rsidR="00D24CE3" w:rsidRPr="00C616A6" w:rsidRDefault="00D24CE3" w:rsidP="00D24CE3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Článok IV. bod 1 znie:</w:t>
      </w:r>
    </w:p>
    <w:p w:rsidR="00D24CE3" w:rsidRPr="00C616A6" w:rsidRDefault="00D24CE3" w:rsidP="00D24CE3">
      <w:pPr>
        <w:pStyle w:val="Odsekzoznamu"/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„1. Zmluvné strany sa dohodli na cene silovej elektriny, za dodávku elektriny (ďalej len „dohodnutá cena“) podľ</w:t>
      </w:r>
      <w:r>
        <w:rPr>
          <w:rFonts w:ascii="Times New Roman" w:hAnsi="Times New Roman" w:cs="Times New Roman"/>
        </w:rPr>
        <w:t>a tejto zmluvy, od 1.1.2019 do 31.12.</w:t>
      </w:r>
      <w:r w:rsidRPr="00C616A6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C616A6">
        <w:rPr>
          <w:rFonts w:ascii="Times New Roman" w:hAnsi="Times New Roman" w:cs="Times New Roman"/>
        </w:rPr>
        <w:t xml:space="preserve"> (ďalej len „deň skončenia platnosti dohodnutej ceny“), pričom dohodnuté ceny</w:t>
      </w:r>
    </w:p>
    <w:p w:rsidR="00D24CE3" w:rsidRPr="00C616A6" w:rsidRDefault="00D24CE3" w:rsidP="00D24CE3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D24CE3" w:rsidRDefault="00D24CE3" w:rsidP="00D24CE3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pre obdobie od 1.1.2019 do 31.12.20</w:t>
      </w:r>
      <w:r w:rsidR="00985D31">
        <w:rPr>
          <w:rFonts w:ascii="Times New Roman" w:hAnsi="Times New Roman" w:cs="Times New Roman"/>
        </w:rPr>
        <w:t>19</w:t>
      </w:r>
      <w:r w:rsidRPr="00C616A6">
        <w:rPr>
          <w:rFonts w:ascii="Times New Roman" w:hAnsi="Times New Roman" w:cs="Times New Roman"/>
        </w:rPr>
        <w:t xml:space="preserve"> sú:</w:t>
      </w:r>
      <w:bookmarkStart w:id="0" w:name="_GoBack"/>
      <w:bookmarkEnd w:id="0"/>
    </w:p>
    <w:p w:rsidR="00D24CE3" w:rsidRPr="00C616A6" w:rsidRDefault="00D24CE3" w:rsidP="00D24CE3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D24CE3" w:rsidRPr="009933CF" w:rsidRDefault="00D24CE3" w:rsidP="00D24CE3">
      <w:pPr>
        <w:ind w:left="1134" w:firstLine="1276"/>
        <w:jc w:val="both"/>
        <w:rPr>
          <w:rFonts w:ascii="Times New Roman" w:hAnsi="Times New Roman" w:cs="Times New Roman"/>
          <w:noProof/>
        </w:rPr>
      </w:pPr>
      <w:r w:rsidRPr="009933CF">
        <w:rPr>
          <w:rFonts w:ascii="Times New Roman" w:hAnsi="Times New Roman" w:cs="Times New Roman"/>
          <w:noProof/>
        </w:rPr>
        <w:t>1T      0,0722 EUR/kWh</w:t>
      </w:r>
    </w:p>
    <w:p w:rsidR="00D24CE3" w:rsidRPr="009933CF" w:rsidRDefault="00D24CE3" w:rsidP="00D24CE3">
      <w:pPr>
        <w:ind w:left="1134" w:firstLine="1276"/>
        <w:jc w:val="both"/>
        <w:rPr>
          <w:rFonts w:ascii="Times New Roman" w:hAnsi="Times New Roman" w:cs="Times New Roman"/>
          <w:noProof/>
        </w:rPr>
      </w:pPr>
      <w:r w:rsidRPr="009933CF">
        <w:rPr>
          <w:rFonts w:ascii="Times New Roman" w:hAnsi="Times New Roman" w:cs="Times New Roman"/>
          <w:noProof/>
        </w:rPr>
        <w:t>2P   VT   0,0756 EUR/kWh,   NT   0,0691 EUR/kWh</w:t>
      </w:r>
    </w:p>
    <w:p w:rsidR="00D24CE3" w:rsidRPr="009933CF" w:rsidRDefault="00D24CE3" w:rsidP="00D24CE3">
      <w:pPr>
        <w:ind w:left="1134" w:firstLine="1276"/>
        <w:jc w:val="both"/>
        <w:rPr>
          <w:rFonts w:ascii="Times New Roman" w:hAnsi="Times New Roman" w:cs="Times New Roman"/>
          <w:noProof/>
        </w:rPr>
      </w:pPr>
      <w:r w:rsidRPr="009933CF">
        <w:rPr>
          <w:rFonts w:ascii="Times New Roman" w:hAnsi="Times New Roman" w:cs="Times New Roman"/>
          <w:noProof/>
        </w:rPr>
        <w:t>2T   VT   0,0719 EUR/kWh,   NT   0,0719 EUR/kWh</w:t>
      </w:r>
    </w:p>
    <w:p w:rsidR="00D24CE3" w:rsidRPr="009933CF" w:rsidRDefault="00D24CE3" w:rsidP="00D24CE3">
      <w:pPr>
        <w:ind w:left="1134" w:firstLine="1276"/>
        <w:jc w:val="both"/>
        <w:rPr>
          <w:rFonts w:ascii="Times New Roman" w:hAnsi="Times New Roman" w:cs="Times New Roman"/>
          <w:noProof/>
        </w:rPr>
      </w:pPr>
      <w:r w:rsidRPr="009933CF">
        <w:rPr>
          <w:rFonts w:ascii="Times New Roman" w:hAnsi="Times New Roman" w:cs="Times New Roman"/>
          <w:noProof/>
        </w:rPr>
        <w:t>VO      0,0597 EUR/kWh</w:t>
      </w:r>
    </w:p>
    <w:p w:rsidR="00D24CE3" w:rsidRPr="00C616A6" w:rsidRDefault="00D24CE3" w:rsidP="00D24CE3">
      <w:pPr>
        <w:ind w:left="1134" w:firstLine="1276"/>
        <w:jc w:val="both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Článok VI. Bod 1. Znie:</w:t>
      </w:r>
    </w:p>
    <w:p w:rsidR="00D24CE3" w:rsidRPr="00C616A6" w:rsidRDefault="00D24CE3" w:rsidP="00D24CE3">
      <w:pPr>
        <w:pStyle w:val="Odsekzoznamu"/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„Zmluva j</w:t>
      </w:r>
      <w:r>
        <w:rPr>
          <w:rFonts w:ascii="Times New Roman" w:hAnsi="Times New Roman" w:cs="Times New Roman"/>
        </w:rPr>
        <w:t>e uzatvorená na dobu určitú do 31.12</w:t>
      </w:r>
      <w:r w:rsidRPr="00C616A6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19</w:t>
      </w:r>
      <w:r w:rsidRPr="00C616A6">
        <w:rPr>
          <w:rFonts w:ascii="Times New Roman" w:hAnsi="Times New Roman" w:cs="Times New Roman"/>
        </w:rPr>
        <w:t>“</w:t>
      </w:r>
    </w:p>
    <w:p w:rsidR="00D24CE3" w:rsidRPr="00C616A6" w:rsidRDefault="00D24CE3" w:rsidP="00D24CE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616A6">
        <w:rPr>
          <w:rFonts w:ascii="Times New Roman" w:hAnsi="Times New Roman" w:cs="Times New Roman"/>
          <w:b/>
        </w:rPr>
        <w:t>Článok III.</w:t>
      </w:r>
    </w:p>
    <w:p w:rsidR="00D24CE3" w:rsidRPr="00C616A6" w:rsidRDefault="00D24CE3" w:rsidP="00D24C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616A6">
        <w:rPr>
          <w:rFonts w:ascii="Times New Roman" w:hAnsi="Times New Roman" w:cs="Times New Roman"/>
          <w:b/>
        </w:rPr>
        <w:t>Záverečné ustanovenia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 xml:space="preserve">Dodatok č. </w:t>
      </w:r>
      <w:r>
        <w:rPr>
          <w:rFonts w:ascii="Times New Roman" w:hAnsi="Times New Roman" w:cs="Times New Roman"/>
        </w:rPr>
        <w:t>1</w:t>
      </w:r>
      <w:r w:rsidRPr="00C616A6">
        <w:rPr>
          <w:rFonts w:ascii="Times New Roman" w:hAnsi="Times New Roman" w:cs="Times New Roman"/>
        </w:rPr>
        <w:t xml:space="preserve"> zmluve je platný a účinný od 1.1.2019 po podpise oboma zmluvnými stranami.</w:t>
      </w:r>
    </w:p>
    <w:p w:rsidR="00D24CE3" w:rsidRPr="00C616A6" w:rsidRDefault="00D24CE3" w:rsidP="00D24CE3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 xml:space="preserve">Dodatok č. </w:t>
      </w:r>
      <w:r>
        <w:rPr>
          <w:rFonts w:ascii="Times New Roman" w:hAnsi="Times New Roman" w:cs="Times New Roman"/>
        </w:rPr>
        <w:t>1</w:t>
      </w:r>
      <w:r w:rsidRPr="00C616A6">
        <w:rPr>
          <w:rFonts w:ascii="Times New Roman" w:hAnsi="Times New Roman" w:cs="Times New Roman"/>
        </w:rPr>
        <w:t xml:space="preserve"> k zmluve je vyhotovený v dvoch vyhotoveniach, z ktorých odberateľ obdrží jedno vyhotovenie a dodávateľ tiež jedno vyhotovenie. Tento dodatok sa stáva neoddeliteľnou súčasťou uvedenej zmluvy.</w:t>
      </w:r>
    </w:p>
    <w:p w:rsidR="00D24CE3" w:rsidRPr="00C616A6" w:rsidRDefault="00D24CE3" w:rsidP="00D24CE3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 xml:space="preserve">Zmluvné strany zhodne vyhlasujú, že text tohto dodatku č. </w:t>
      </w:r>
      <w:r>
        <w:rPr>
          <w:rFonts w:ascii="Times New Roman" w:hAnsi="Times New Roman" w:cs="Times New Roman"/>
        </w:rPr>
        <w:t>1</w:t>
      </w:r>
      <w:r w:rsidRPr="00C616A6">
        <w:rPr>
          <w:rFonts w:ascii="Times New Roman" w:hAnsi="Times New Roman" w:cs="Times New Roman"/>
        </w:rPr>
        <w:t xml:space="preserve"> k zmluve si prečítali, jeho obsahu porozumeli, a na znak toho, že jeho obsah zodpovedá ich skutočnej a slobodnej vôli ho podpísali.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 xml:space="preserve">V Piešťanoch  </w:t>
      </w:r>
      <w:r>
        <w:rPr>
          <w:rFonts w:ascii="Times New Roman" w:hAnsi="Times New Roman" w:cs="Times New Roman"/>
        </w:rPr>
        <w:t>20.12.2018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  <w:b/>
        </w:rPr>
        <w:t>Za dodávateľa:</w:t>
      </w:r>
      <w:r w:rsidRPr="00C616A6">
        <w:rPr>
          <w:rFonts w:ascii="Times New Roman" w:hAnsi="Times New Roman" w:cs="Times New Roman"/>
          <w:b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  <w:b/>
        </w:rPr>
        <w:t>Za odberateľa:</w:t>
      </w: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Pr="00C616A6" w:rsidRDefault="00D24CE3" w:rsidP="00D24CE3">
      <w:pPr>
        <w:spacing w:after="0" w:line="360" w:lineRule="auto"/>
        <w:rPr>
          <w:rFonts w:ascii="Times New Roman" w:hAnsi="Times New Roman" w:cs="Times New Roman"/>
        </w:rPr>
      </w:pPr>
    </w:p>
    <w:p w:rsidR="00D24CE3" w:rsidRDefault="00D24CE3" w:rsidP="00D24CE3">
      <w:pPr>
        <w:spacing w:after="0" w:line="360" w:lineRule="auto"/>
        <w:ind w:left="2835" w:right="-852" w:hanging="2835"/>
        <w:rPr>
          <w:rFonts w:ascii="Times New Roman" w:hAnsi="Times New Roman" w:cs="Times New Roman"/>
        </w:rPr>
      </w:pPr>
      <w:r w:rsidRPr="00C616A6">
        <w:rPr>
          <w:rFonts w:ascii="Times New Roman" w:hAnsi="Times New Roman" w:cs="Times New Roman"/>
        </w:rPr>
        <w:t>Martin Ondko</w:t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  <w:r w:rsidRPr="009933CF">
        <w:rPr>
          <w:rFonts w:ascii="Times New Roman" w:hAnsi="Times New Roman" w:cs="Times New Roman"/>
          <w:noProof/>
        </w:rPr>
        <w:t>Ing. Ján Mičuda, starosta</w:t>
      </w:r>
    </w:p>
    <w:p w:rsidR="00D24CE3" w:rsidRDefault="00D24CE3" w:rsidP="00D24CE3">
      <w:pPr>
        <w:spacing w:after="0" w:line="360" w:lineRule="auto"/>
        <w:ind w:left="2835" w:hanging="2835"/>
        <w:rPr>
          <w:rFonts w:ascii="Times New Roman" w:hAnsi="Times New Roman" w:cs="Times New Roman"/>
        </w:rPr>
        <w:sectPr w:rsidR="00D24CE3" w:rsidSect="00374E0C">
          <w:headerReference w:type="even" r:id="rId8"/>
          <w:pgSz w:w="11907" w:h="16840" w:code="9"/>
          <w:pgMar w:top="851" w:right="1418" w:bottom="851" w:left="1418" w:header="709" w:footer="709" w:gutter="0"/>
          <w:pgNumType w:start="1"/>
          <w:cols w:space="708"/>
        </w:sectPr>
      </w:pPr>
      <w:r w:rsidRPr="00C616A6">
        <w:rPr>
          <w:rFonts w:ascii="Times New Roman" w:hAnsi="Times New Roman" w:cs="Times New Roman"/>
        </w:rPr>
        <w:t>predseda predstavenstva a generálny riaditeľ</w:t>
      </w:r>
      <w:r w:rsidRPr="00C616A6">
        <w:rPr>
          <w:rFonts w:ascii="Times New Roman" w:hAnsi="Times New Roman" w:cs="Times New Roman"/>
        </w:rPr>
        <w:tab/>
      </w:r>
      <w:r w:rsidRPr="00C616A6">
        <w:rPr>
          <w:rFonts w:ascii="Times New Roman" w:hAnsi="Times New Roman" w:cs="Times New Roman"/>
        </w:rPr>
        <w:tab/>
      </w:r>
    </w:p>
    <w:p w:rsidR="00E47767" w:rsidRDefault="00E47767"/>
    <w:sectPr w:rsidR="00E4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77" w:rsidRDefault="00A63877">
      <w:pPr>
        <w:spacing w:after="0" w:line="240" w:lineRule="auto"/>
      </w:pPr>
      <w:r>
        <w:separator/>
      </w:r>
    </w:p>
  </w:endnote>
  <w:endnote w:type="continuationSeparator" w:id="0">
    <w:p w:rsidR="00A63877" w:rsidRDefault="00A6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77" w:rsidRDefault="00A63877">
      <w:pPr>
        <w:spacing w:after="0" w:line="240" w:lineRule="auto"/>
      </w:pPr>
      <w:r>
        <w:separator/>
      </w:r>
    </w:p>
  </w:footnote>
  <w:footnote w:type="continuationSeparator" w:id="0">
    <w:p w:rsidR="00A63877" w:rsidRDefault="00A6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AC2" w:rsidRDefault="00A638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5F23F89"/>
    <w:multiLevelType w:val="hybridMultilevel"/>
    <w:tmpl w:val="CA280F32"/>
    <w:lvl w:ilvl="0" w:tplc="B986E3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5D81619D"/>
    <w:multiLevelType w:val="hybridMultilevel"/>
    <w:tmpl w:val="EB4C4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D2A0DA7"/>
    <w:multiLevelType w:val="hybridMultilevel"/>
    <w:tmpl w:val="56045B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E3"/>
    <w:rsid w:val="00985D31"/>
    <w:rsid w:val="00A63877"/>
    <w:rsid w:val="00D24CE3"/>
    <w:rsid w:val="00E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A698"/>
  <w15:chartTrackingRefBased/>
  <w15:docId w15:val="{934293DA-218E-4D7E-B427-4E072230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4CE3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CE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4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CE3"/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24CE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CE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hod@magnae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Šimkova</dc:creator>
  <cp:keywords/>
  <dc:description/>
  <cp:lastModifiedBy>Monika Kollariková</cp:lastModifiedBy>
  <cp:revision>2</cp:revision>
  <cp:lastPrinted>2018-12-28T09:53:00Z</cp:lastPrinted>
  <dcterms:created xsi:type="dcterms:W3CDTF">2018-12-31T09:00:00Z</dcterms:created>
  <dcterms:modified xsi:type="dcterms:W3CDTF">2018-12-31T09:00:00Z</dcterms:modified>
</cp:coreProperties>
</file>